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2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080"/>
        <w:gridCol w:w="4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4320" w:type="dxa"/>
          </w:tcPr>
          <w:p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exact"/>
        </w:trPr>
        <w:tc>
          <w:tcPr>
            <w:tcW w:w="9720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9720" w:type="dxa"/>
            <w:gridSpan w:val="3"/>
            <w:tcBorders>
              <w:top w:val="thinThickSmallGap" w:color="auto" w:sz="24" w:space="0"/>
            </w:tcBorders>
          </w:tcPr>
          <w:p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0" w:edGrp="everyone"/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 xml:space="preserve">О внесении изменений в </w:t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fldChar w:fldCharType="begin"/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instrText xml:space="preserve"> HYPERLINK "https://login.consultant.ru/link/?req=doc&amp;base=RLAW916&amp;n=26192&amp;dst=100009&amp;field=134&amp;date=20.10.2025" </w:instrText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fldChar w:fldCharType="separate"/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>Положение</w:t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fldChar w:fldCharType="end"/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</w:rPr>
              <w:t xml:space="preserve"> о 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      </w:r>
            <w:r>
              <w:rPr>
                <w:rFonts w:hint="default" w:ascii="PT Astra Serif" w:hAnsi="PT Astra Serif" w:cs="Times New Roman"/>
                <w:bCs/>
                <w:sz w:val="26"/>
                <w:szCs w:val="26"/>
                <w:lang w:val="ru-RU"/>
              </w:rPr>
              <w:t xml:space="preserve">, утвержденное Постановлением Правительства Республики Алтай от 6 мая 2010 г. № 66 </w:t>
            </w:r>
            <w:perm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9720" w:type="dxa"/>
            <w:gridSpan w:val="3"/>
            <w:vAlign w:val="center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>
      <w:pPr>
        <w:pStyle w:val="9"/>
        <w:widowControl w:val="0"/>
        <w:ind w:firstLine="709"/>
        <w:jc w:val="both"/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</w:pPr>
      <w:permStart w:id="1" w:edGrp="everyone"/>
      <w:r>
        <w:rPr>
          <w:rFonts w:ascii="PT Astra Serif" w:hAnsi="PT Astra Serif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Правительство</w:t>
      </w:r>
      <w:r>
        <w:rPr>
          <w:rFonts w:hint="default" w:ascii="PT Astra Serif" w:hAnsi="PT Astra Serif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 xml:space="preserve"> Республки Алтай </w:t>
      </w:r>
      <w:r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п о с т а н о в л я е т :</w:t>
      </w:r>
    </w:p>
    <w:p>
      <w:pPr>
        <w:pStyle w:val="9"/>
        <w:widowControl w:val="0"/>
        <w:ind w:firstLine="709"/>
        <w:jc w:val="both"/>
        <w:rPr>
          <w:rFonts w:hint="default" w:ascii="PT Astra Serif" w:hAnsi="PT Astra Serif"/>
          <w:b/>
          <w:bCs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</w:pPr>
    </w:p>
    <w:p>
      <w:p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/>
          <w14:textFill>
            <w14:solidFill>
              <w14:schemeClr w14:val="tx1"/>
            </w14:solidFill>
          </w14:textFill>
        </w:rPr>
        <w:t>Внести в</w:t>
      </w:r>
      <w:r>
        <w:rPr>
          <w:rFonts w:hint="default" w:ascii="PT Astra Serif" w:hAnsi="PT Astra Serif" w:cs="Times New Roman"/>
          <w:bCs/>
          <w:sz w:val="26"/>
          <w:szCs w:val="26"/>
        </w:rPr>
        <w:t xml:space="preserve"> </w:t>
      </w:r>
      <w:r>
        <w:rPr>
          <w:rFonts w:hint="default" w:ascii="PT Astra Serif" w:hAnsi="PT Astra Serif" w:cs="Times New Roman"/>
          <w:bCs/>
          <w:sz w:val="26"/>
          <w:szCs w:val="26"/>
        </w:rPr>
        <w:fldChar w:fldCharType="begin"/>
      </w:r>
      <w:r>
        <w:rPr>
          <w:rFonts w:hint="default" w:ascii="PT Astra Serif" w:hAnsi="PT Astra Serif" w:cs="Times New Roman"/>
          <w:bCs/>
          <w:sz w:val="26"/>
          <w:szCs w:val="26"/>
        </w:rPr>
        <w:instrText xml:space="preserve"> HYPERLINK "https://login.consultant.ru/link/?req=doc&amp;base=RLAW916&amp;n=26192&amp;dst=100009&amp;field=134&amp;date=20.10.2025" </w:instrText>
      </w:r>
      <w:r>
        <w:rPr>
          <w:rFonts w:hint="default" w:ascii="PT Astra Serif" w:hAnsi="PT Astra Serif" w:cs="Times New Roman"/>
          <w:bCs/>
          <w:sz w:val="26"/>
          <w:szCs w:val="26"/>
        </w:rPr>
        <w:fldChar w:fldCharType="separate"/>
      </w:r>
      <w:r>
        <w:rPr>
          <w:rFonts w:hint="default" w:ascii="PT Astra Serif" w:hAnsi="PT Astra Serif" w:cs="Times New Roman"/>
          <w:bCs/>
          <w:sz w:val="26"/>
          <w:szCs w:val="26"/>
        </w:rPr>
        <w:t>Положение</w:t>
      </w:r>
      <w:r>
        <w:rPr>
          <w:rFonts w:hint="default" w:ascii="PT Astra Serif" w:hAnsi="PT Astra Serif" w:cs="Times New Roman"/>
          <w:bCs/>
          <w:sz w:val="26"/>
          <w:szCs w:val="26"/>
        </w:rPr>
        <w:fldChar w:fldCharType="end"/>
      </w:r>
      <w:r>
        <w:rPr>
          <w:rFonts w:hint="default" w:ascii="PT Astra Serif" w:hAnsi="PT Astra Serif" w:cs="Times New Roman"/>
          <w:bCs/>
          <w:sz w:val="26"/>
          <w:szCs w:val="26"/>
        </w:rPr>
        <w:t xml:space="preserve"> о 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>
        <w:rPr>
          <w:rFonts w:hint="default" w:ascii="PT Astra Serif" w:hAnsi="PT Astra Serif" w:cs="Times New Roman"/>
          <w:bCs/>
          <w:sz w:val="26"/>
          <w:szCs w:val="26"/>
          <w:lang w:val="ru-RU"/>
        </w:rPr>
        <w:t>, утвержденное Постановлением Правительства Республики Алтай от 6 мая 2010 г. № 66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 (Сборник законодательства Республики Алтай, 2010, № 66(72); 2016, 134(140), следующие изменения: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а) в пункт 2 слова «при военных конфликтах или вследствие этих конфликтов, а также при чрезвычайных ситуациях природного и техногенного характера»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"https://login.consultant.ru/link/?req=doc&amp;base=LAW&amp;n=482802&amp;dst=69&amp;field=134&amp;date=20.10.2025" </w:instrTex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заменить словами «в период мобилизации, в период действия военного положения, в военное время»;</w:t>
      </w:r>
    </w:p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б)  в пункт</w:t>
      </w:r>
      <w:bookmarkStart w:id="3" w:name="_GoBack"/>
      <w:bookmarkEnd w:id="3"/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 xml:space="preserve"> 4 после слов «в мирное время» </w: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instrText xml:space="preserve"> HYPERLINK "https://login.consultant.ru/link/?req=doc&amp;base=LAW&amp;n=482802&amp;dst=100147&amp;field=134&amp;date=20.10.2025" </w:instrText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  <w:t>дополнить словами «, в период мобилизации, в период действия военного положения, в военное время».</w:t>
      </w:r>
    </w:p>
    <w:permEnd w:id="1"/>
    <w:p>
      <w:pPr>
        <w:pStyle w:val="9"/>
        <w:widowControl w:val="0"/>
        <w:numPr>
          <w:ilvl w:val="0"/>
          <w:numId w:val="0"/>
        </w:numPr>
        <w:ind w:left="0" w:leftChars="0" w:firstLine="657" w:firstLineChars="253"/>
        <w:jc w:val="both"/>
        <w:rPr>
          <w:rFonts w:hint="default" w:ascii="PT Astra Serif" w:hAnsi="PT Astra Serif"/>
          <w:b w:val="0"/>
          <w:bCs w:val="0"/>
          <w:color w:val="000000" w:themeColor="text1"/>
          <w:sz w:val="26"/>
          <w:szCs w:val="26"/>
          <w:lang w:val="ru-RU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p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  <w:t>Председатель Правительства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permStart w:id="2" w:edGrp="everyone"/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</w:pPr>
      <w:r>
        <w:rPr>
          <w:rFonts w:ascii="PT Astra Serif" w:hAnsi="PT Astra Serif"/>
          <w:color w:val="FFFFFF" w:themeColor="background1"/>
          <w:sz w:val="26"/>
          <w:szCs w:val="26"/>
          <w14:textFill>
            <w14:solidFill>
              <w14:schemeClr w14:val="bg1"/>
            </w14:solidFill>
          </w14:textFill>
        </w:rPr>
        <w:t>]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ПОЯСНИТЕЛЬНАЯ ЗАПИСКА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к проекту постановления Правительства Республики Алтай 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«О внесении изменений в 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fldChar w:fldCharType="begin"/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instrText xml:space="preserve"> HYPERLINK "https://login.consultant.ru/link/?req=doc&amp;base=RLAW916&amp;n=26192&amp;dst=100009&amp;field=134&amp;date=20.10.2025" </w:instrTex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fldChar w:fldCharType="separate"/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Положение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 о 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>, утвержденное Постановлением Правительства Республики Алтай от 6 мая 2010 г. № 66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»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 xml:space="preserve"> </w:t>
      </w:r>
    </w:p>
    <w:p>
      <w:pPr>
        <w:bidi w:val="0"/>
        <w:ind w:left="0" w:right="0" w:firstLine="0"/>
        <w:jc w:val="center"/>
        <w:rPr>
          <w:rFonts w:hint="default" w:ascii="PT Astra Serif" w:hAnsi="PT Astra Serif" w:cs="PT Astra Serif"/>
          <w:sz w:val="26"/>
          <w:szCs w:val="26"/>
          <w:lang w:val="ru-RU"/>
        </w:rPr>
      </w:pP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 xml:space="preserve">(далее - </w:t>
      </w:r>
      <w:r>
        <w:rPr>
          <w:rFonts w:hint="default" w:ascii="PT Astra Serif" w:hAnsi="PT Astra Serif" w:cs="PT Astra Serif"/>
          <w:b/>
          <w:bCs/>
          <w:color w:val="auto"/>
          <w:sz w:val="26"/>
          <w:szCs w:val="26"/>
        </w:rPr>
        <w:t>проект постановления)</w:t>
      </w:r>
    </w:p>
    <w:p>
      <w:pPr>
        <w:bidi w:val="0"/>
        <w:ind w:left="0" w:right="0" w:firstLine="540"/>
        <w:jc w:val="center"/>
        <w:rPr>
          <w:rFonts w:hint="default" w:ascii="PT Astra Serif" w:hAnsi="PT Astra Serif" w:cs="PT Astra Serif"/>
          <w:b/>
          <w:color w:val="auto"/>
          <w:sz w:val="26"/>
          <w:szCs w:val="26"/>
        </w:rPr>
      </w:pP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Субъектом нормотворческой деятельности является Правительство Республики Алтай.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Разработчиком проекта постановления Комитет по гражданской обороне, чрезвычайным ситуациям и пожарной безопасности Республики Алтай (далее – Комитет).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Предметом правового регулирования является приведение законодательства Республики Алтай в соответствие с Федеральным законом от 2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3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Sylfaen" w:cs="Times New Roman"/>
          <w:sz w:val="26"/>
          <w:szCs w:val="26"/>
          <w:lang w:val="ru-RU" w:eastAsia="en-US"/>
        </w:rPr>
        <w:t>июля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 2025 г. № 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240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-ФЗ «</w:t>
      </w:r>
      <w:r>
        <w:rPr>
          <w:rFonts w:ascii="PT Astra Serif" w:hAnsi="PT Astra Serif" w:eastAsia="Sylfaen" w:cs="Times New Roman"/>
          <w:sz w:val="26"/>
          <w:szCs w:val="26"/>
          <w:lang w:val="en-US" w:eastAsia="en-US"/>
        </w:rPr>
        <w:t xml:space="preserve">О внесении изменений в Федеральный закон 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«</w:t>
      </w:r>
      <w:r>
        <w:rPr>
          <w:rFonts w:ascii="PT Astra Serif" w:hAnsi="PT Astra Serif" w:eastAsia="Sylfaen" w:cs="Times New Roman"/>
          <w:sz w:val="26"/>
          <w:szCs w:val="26"/>
          <w:lang w:val="en-US" w:eastAsia="en-US"/>
        </w:rPr>
        <w:t>О гражданской обороне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».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Правовым основанием принятия проекта постановления являются: 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 </w:t>
      </w:r>
      <w:r>
        <w:rPr>
          <w:rFonts w:ascii="PT Astra Serif" w:hAnsi="PT Astra Serif" w:eastAsia="Sylfaen" w:cs="Times New Roman"/>
          <w:sz w:val="26"/>
          <w:szCs w:val="26"/>
          <w:lang w:val="ru-RU" w:eastAsia="en-US"/>
        </w:rPr>
        <w:t>абзац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 первый, второй статьи 1 </w:t>
      </w:r>
      <w:r>
        <w:rPr>
          <w:rFonts w:ascii="PT Astra Serif" w:hAnsi="PT Astra Serif" w:eastAsia="Sylfaen" w:cs="Times New Roman"/>
          <w:sz w:val="26"/>
          <w:szCs w:val="26"/>
          <w:lang w:val="en-US" w:eastAsia="en-US"/>
        </w:rPr>
        <w:t>Федеральн</w:t>
      </w:r>
      <w:r>
        <w:rPr>
          <w:rFonts w:ascii="PT Astra Serif" w:hAnsi="PT Astra Serif" w:eastAsia="Sylfaen" w:cs="Times New Roman"/>
          <w:sz w:val="26"/>
          <w:szCs w:val="26"/>
          <w:lang w:val="ru-RU" w:eastAsia="en-US"/>
        </w:rPr>
        <w:t>ого</w:t>
      </w:r>
      <w:r>
        <w:rPr>
          <w:rFonts w:ascii="PT Astra Serif" w:hAnsi="PT Astra Serif" w:eastAsia="Sylfaen" w:cs="Times New Roman"/>
          <w:sz w:val="26"/>
          <w:szCs w:val="26"/>
          <w:lang w:val="en-US" w:eastAsia="en-US"/>
        </w:rPr>
        <w:t xml:space="preserve"> закон</w:t>
      </w:r>
      <w:r>
        <w:rPr>
          <w:rFonts w:ascii="PT Astra Serif" w:hAnsi="PT Astra Serif" w:eastAsia="Sylfaen" w:cs="Times New Roman"/>
          <w:sz w:val="26"/>
          <w:szCs w:val="26"/>
          <w:lang w:val="ru-RU" w:eastAsia="en-US"/>
        </w:rPr>
        <w:t>а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 от 12 февраля 1998 г.</w:t>
      </w:r>
      <w:r>
        <w:rPr>
          <w:rFonts w:ascii="PT Astra Serif" w:hAnsi="PT Astra Serif" w:eastAsia="Sylfaen" w:cs="Times New Roman"/>
          <w:sz w:val="26"/>
          <w:szCs w:val="26"/>
          <w:lang w:val="en-US" w:eastAsia="en-US"/>
        </w:rPr>
        <w:t xml:space="preserve"> 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«</w:t>
      </w:r>
      <w:r>
        <w:rPr>
          <w:rFonts w:ascii="PT Astra Serif" w:hAnsi="PT Astra Serif" w:eastAsia="Sylfaen" w:cs="Times New Roman"/>
          <w:sz w:val="26"/>
          <w:szCs w:val="26"/>
          <w:lang w:val="en-US" w:eastAsia="en-US"/>
        </w:rPr>
        <w:t>О гражданской обороне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»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, согласно которых: 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val="ru-RU" w:eastAsia="en-US"/>
        </w:rPr>
        <w:t>г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ражданская оборона -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мероприятия по гражданской обороне - организационные и специальные действия, осуществляемые в области гражданской обороны в мирное время, в период мобилизации, в период действия военного положения, в военное время в соответствии с федеральными законами и иными нормативными правовыми актами Российской Федерации;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Федеральный закон вступает в силу по истечении ста восьмидесяти дней после дня его официального опубликования.</w:t>
      </w:r>
    </w:p>
    <w:p>
      <w:pPr>
        <w:numPr>
          <w:ilvl w:val="0"/>
          <w:numId w:val="1"/>
        </w:numPr>
        <w:shd w:val="clear" w:color="auto" w:fill="FFFFFF"/>
        <w:spacing w:after="150" w:line="240" w:lineRule="auto"/>
        <w:ind w:left="0" w:leftChars="0" w:firstLine="878" w:firstLineChars="338"/>
        <w:contextualSpacing/>
        <w:jc w:val="both"/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пункт 1 статьи 1 Федерального конституционного закона от 30 снваря 2002 г. № 1-ФКЗ «О военном положении», согласно которому под военным положением понимается особый правовой режим, вводимый на территории Российской Федерации или в отдельных ее местностях в соответствии с 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begin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instrText xml:space="preserve"> HYPERLINK "https://login.consultant.ru/link/?req=doc&amp;base=LAW&amp;n=2875&amp;dst=100377&amp;field=134&amp;date=20.10.2025" </w:instrTex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separate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Конституцией</w:t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fldChar w:fldCharType="end"/>
      </w: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 xml:space="preserve"> Российской Федерации Президентом Российской Федерации в случае агрессии против Российской Федерации или непосредственной угрозы агрессии;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3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) абзац первый статьи 1 и абзац первый статьи 4 Конституционного закона Республики Алтай от 24 февраля 1998 г. № 2-4 «О Правительстве Республики Алтай», в соответствии с которыми Правительство Республики Алтай: 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является высшим исполнительным органом государственной власти Республики Алтай;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обеспечивает исполнение Конституции Российской Федерации, федеральных законов и иных нормативных правовых актов Российской Федерации, Конституции Республики Алтай, законов и иных нормативных правовых актов Республики Алтай на территории Республики Алтай;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hint="default" w:ascii="PT Astra Serif" w:hAnsi="PT Astra Serif" w:eastAsia="Sylfaen" w:cs="Times New Roman"/>
          <w:sz w:val="26"/>
          <w:szCs w:val="26"/>
          <w:lang w:val="ru-RU" w:eastAsia="en-US"/>
        </w:rPr>
        <w:t>4</w:t>
      </w:r>
      <w:r>
        <w:rPr>
          <w:rFonts w:ascii="PT Astra Serif" w:hAnsi="PT Astra Serif" w:eastAsia="Sylfaen" w:cs="Times New Roman"/>
          <w:sz w:val="26"/>
          <w:szCs w:val="26"/>
          <w:lang w:eastAsia="en-US"/>
        </w:rPr>
        <w:t>) часть 1 статьи 11, часть 1 статьи 20 Закона Республики Алтай от 5 марта 2008 г. № 18-РЗ «О нормативных правовых актах Республики Алтай», согласно которым: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Правительство Республики Алтай по вопросам, входящим в его компетенцию, издает в соответствии с установленной процедурой правовые акты;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изменение нормативного правового акта оформляется нормативными правовыми актами того же вида;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 xml:space="preserve"> В отношении проекта постановления не требуется проведение оценки регулирующего воздействия в связи с тем, что проект постановления не устанавливает новые и не изменяет ранее предусмотренные нормативными правовыми актами Республики Алтай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Принятие проекта постановления не потребует признания утратившими силу, приостановления, изменения или принятия иных нормативных правовых актов Республики Алтай.</w:t>
      </w:r>
    </w:p>
    <w:p>
      <w:pPr>
        <w:shd w:val="clear" w:color="auto" w:fill="FFFFFF"/>
        <w:spacing w:after="150" w:line="240" w:lineRule="auto"/>
        <w:ind w:firstLine="878" w:firstLineChars="338"/>
        <w:contextualSpacing/>
        <w:jc w:val="both"/>
        <w:rPr>
          <w:rFonts w:ascii="PT Astra Serif" w:hAnsi="PT Astra Serif" w:eastAsia="Sylfaen" w:cs="Times New Roman"/>
          <w:sz w:val="26"/>
          <w:szCs w:val="26"/>
          <w:lang w:eastAsia="en-US"/>
        </w:rPr>
      </w:pPr>
      <w:r>
        <w:rPr>
          <w:rFonts w:ascii="PT Astra Serif" w:hAnsi="PT Astra Serif" w:eastAsia="Sylfaen" w:cs="Times New Roman"/>
          <w:sz w:val="26"/>
          <w:szCs w:val="26"/>
          <w:lang w:eastAsia="en-US"/>
        </w:rPr>
        <w:t>Принятие проекта постановления не потребует дополнительных расходов, финансируемых за счет средств республиканского бюджета Республики Алтай.</w:t>
      </w: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2410"/>
        <w:gridCol w:w="2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П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</w:rPr>
              <w:t>редседател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ь</w:t>
            </w: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</w:rPr>
              <w:t xml:space="preserve"> Комитета по гражданской обороне, чрезвычайным ситуациям и пожарной безопасности 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hint="default" w:ascii="PT Astra Serif" w:hAnsi="PT Astra Serif" w:cs="Times New Roman"/>
                <w:sz w:val="26"/>
                <w:szCs w:val="26"/>
                <w:lang w:val="ru-RU"/>
              </w:rPr>
            </w:pPr>
            <w:r>
              <w:rPr>
                <w:rFonts w:hint="default" w:ascii="PT Astra Serif" w:hAnsi="PT Astra Serif" w:cs="PT Astra Serif"/>
                <w:color w:val="auto"/>
                <w:sz w:val="26"/>
                <w:szCs w:val="26"/>
                <w:lang w:val="ru-RU"/>
              </w:rPr>
              <w:t>Ю.Б. Леонтьев</w:t>
            </w:r>
          </w:p>
        </w:tc>
      </w:tr>
    </w:tbl>
    <w:p>
      <w:pPr>
        <w:bidi w:val="0"/>
        <w:ind w:left="0" w:right="0" w:firstLine="709"/>
        <w:jc w:val="both"/>
        <w:rPr>
          <w:rFonts w:hint="default" w:ascii="PT Astra Serif" w:hAnsi="PT Astra Serif" w:cs="PT Astra Serif"/>
          <w:sz w:val="26"/>
          <w:szCs w:val="26"/>
        </w:rPr>
      </w:pPr>
    </w:p>
    <w:p>
      <w:pPr>
        <w:jc w:val="center"/>
        <w:rPr>
          <w:rFonts w:hint="default" w:ascii="PT Astra Serif" w:hAnsi="PT Astra Serif" w:cs="PT Astra Serif"/>
          <w:b/>
          <w:b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  <w:r>
        <w:rPr>
          <w:rFonts w:hint="default" w:ascii="PT Astra Serif" w:hAnsi="PT Astra Serif" w:cs="PT Astra Serif"/>
          <w:b/>
          <w:caps/>
          <w:color w:val="auto"/>
          <w:sz w:val="26"/>
          <w:szCs w:val="26"/>
        </w:rPr>
        <w:t>Финансово-экономическое обоснование</w:t>
      </w:r>
    </w:p>
    <w:p>
      <w:pPr>
        <w:jc w:val="center"/>
        <w:rPr>
          <w:rFonts w:hint="default" w:ascii="PT Astra Serif" w:hAnsi="PT Astra Serif" w:cs="PT Astra Serif"/>
          <w:b/>
          <w:bCs/>
          <w:sz w:val="26"/>
          <w:szCs w:val="26"/>
        </w:rPr>
      </w:pPr>
      <w:r>
        <w:rPr>
          <w:rFonts w:hint="default" w:ascii="PT Astra Serif" w:hAnsi="PT Astra Serif" w:cs="PT Astra Serif"/>
          <w:b/>
          <w:bCs/>
          <w:sz w:val="26"/>
          <w:szCs w:val="26"/>
        </w:rPr>
        <w:t>к проекту постановления Правительства Республики Алтай</w:t>
      </w:r>
    </w:p>
    <w:p>
      <w:pPr>
        <w:jc w:val="center"/>
        <w:rPr>
          <w:rFonts w:hint="default" w:ascii="PT Astra Serif" w:hAnsi="PT Astra Serif" w:cs="PT Astra Serif"/>
          <w:b/>
          <w:bCs/>
          <w:sz w:val="26"/>
          <w:szCs w:val="26"/>
        </w:rPr>
      </w:pPr>
      <w:r>
        <w:rPr>
          <w:rFonts w:hint="default" w:ascii="PT Astra Serif" w:hAnsi="PT Astra Serif" w:cs="PT Astra Serif"/>
          <w:b/>
          <w:bCs/>
          <w:sz w:val="26"/>
          <w:szCs w:val="26"/>
        </w:rPr>
        <w:t xml:space="preserve">«О внесении изменений 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в 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fldChar w:fldCharType="begin"/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instrText xml:space="preserve"> HYPERLINK "https://login.consultant.ru/link/?req=doc&amp;base=RLAW916&amp;n=26192&amp;dst=100009&amp;field=134&amp;date=20.10.2025" </w:instrTex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fldChar w:fldCharType="separate"/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>Положение</w:t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b/>
          <w:color w:val="auto"/>
          <w:sz w:val="26"/>
          <w:szCs w:val="26"/>
        </w:rPr>
        <w:t xml:space="preserve"> о 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>
        <w:rPr>
          <w:rFonts w:hint="default" w:ascii="PT Astra Serif" w:hAnsi="PT Astra Serif" w:cs="PT Astra Serif"/>
          <w:b/>
          <w:color w:val="auto"/>
          <w:sz w:val="26"/>
          <w:szCs w:val="26"/>
          <w:lang w:val="ru-RU"/>
        </w:rPr>
        <w:t>, утвержденное Постановлением Правительства Республики Алтай от 6 мая 2010 г. № 66</w:t>
      </w:r>
      <w:r>
        <w:rPr>
          <w:rFonts w:hint="default" w:ascii="PT Astra Serif" w:hAnsi="PT Astra Serif" w:cs="PT Astra Serif"/>
          <w:b/>
          <w:bCs/>
          <w:sz w:val="26"/>
          <w:szCs w:val="26"/>
        </w:rPr>
        <w:t>»</w:t>
      </w:r>
    </w:p>
    <w:p>
      <w:pPr>
        <w:rPr>
          <w:rFonts w:hint="default" w:ascii="PT Astra Serif" w:hAnsi="PT Astra Serif" w:cs="PT Astra Serif"/>
          <w:sz w:val="26"/>
          <w:szCs w:val="26"/>
        </w:rPr>
      </w:pPr>
    </w:p>
    <w:p>
      <w:pPr>
        <w:ind w:left="0" w:leftChars="0" w:firstLine="839" w:firstLineChars="323"/>
        <w:rPr>
          <w:rFonts w:hint="default" w:ascii="PT Astra Serif" w:hAnsi="PT Astra Serif" w:cs="PT Astra Serif"/>
          <w:sz w:val="26"/>
          <w:szCs w:val="26"/>
        </w:rPr>
      </w:pPr>
      <w:r>
        <w:rPr>
          <w:rFonts w:hint="default" w:ascii="PT Astra Serif" w:hAnsi="PT Astra Serif" w:cs="PT Astra Serif"/>
          <w:sz w:val="26"/>
          <w:szCs w:val="26"/>
        </w:rPr>
        <w:t xml:space="preserve">Принятие проекта постановления Правительства Республики Алтай «О внесении изменений в </w:t>
      </w:r>
      <w:r>
        <w:rPr>
          <w:rFonts w:hint="default" w:ascii="PT Astra Serif" w:hAnsi="PT Astra Serif" w:cs="PT Astra Serif"/>
          <w:sz w:val="26"/>
          <w:szCs w:val="26"/>
        </w:rPr>
        <w:fldChar w:fldCharType="begin"/>
      </w:r>
      <w:r>
        <w:rPr>
          <w:rFonts w:hint="default" w:ascii="PT Astra Serif" w:hAnsi="PT Astra Serif" w:cs="PT Astra Serif"/>
          <w:sz w:val="26"/>
          <w:szCs w:val="26"/>
        </w:rPr>
        <w:instrText xml:space="preserve"> HYPERLINK "https://login.consultant.ru/link/?req=doc&amp;base=RLAW916&amp;n=26192&amp;dst=100009&amp;field=134&amp;date=20.10.2025" </w:instrText>
      </w:r>
      <w:r>
        <w:rPr>
          <w:rFonts w:hint="default" w:ascii="PT Astra Serif" w:hAnsi="PT Astra Serif" w:cs="PT Astra Serif"/>
          <w:sz w:val="26"/>
          <w:szCs w:val="26"/>
        </w:rPr>
        <w:fldChar w:fldCharType="separate"/>
      </w:r>
      <w:r>
        <w:rPr>
          <w:rFonts w:hint="default" w:ascii="PT Astra Serif" w:hAnsi="PT Astra Serif" w:cs="PT Astra Serif"/>
          <w:sz w:val="26"/>
          <w:szCs w:val="26"/>
        </w:rPr>
        <w:t>Положение</w:t>
      </w:r>
      <w:r>
        <w:rPr>
          <w:rFonts w:hint="default" w:ascii="PT Astra Serif" w:hAnsi="PT Astra Serif" w:cs="PT Astra Serif"/>
          <w:sz w:val="26"/>
          <w:szCs w:val="26"/>
        </w:rPr>
        <w:fldChar w:fldCharType="end"/>
      </w:r>
      <w:r>
        <w:rPr>
          <w:rFonts w:hint="default" w:ascii="PT Astra Serif" w:hAnsi="PT Astra Serif" w:cs="PT Astra Serif"/>
          <w:sz w:val="26"/>
          <w:szCs w:val="26"/>
        </w:rPr>
        <w:t xml:space="preserve"> о создании и поддержании в состоянии постоянной готовности к использованию технических систем управления гражданской обороны на территории Республики Алтай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>, утвержденное Постановлением Правительства Республики Алтай от 6 мая 2010 г. № 66</w:t>
      </w:r>
      <w:r>
        <w:rPr>
          <w:rFonts w:hint="default" w:ascii="PT Astra Serif" w:hAnsi="PT Astra Serif" w:cs="PT Astra Serif"/>
          <w:sz w:val="26"/>
          <w:szCs w:val="26"/>
        </w:rPr>
        <w:t>» не повлечет за собой дополнительных расходов</w:t>
      </w:r>
      <w:r>
        <w:rPr>
          <w:rFonts w:hint="default"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hint="default" w:ascii="PT Astra Serif" w:hAnsi="PT Astra Serif" w:cs="PT Astra Serif"/>
          <w:sz w:val="26"/>
          <w:szCs w:val="26"/>
        </w:rPr>
        <w:t>из республиканского бюджета Республики Алтай.</w:t>
      </w:r>
    </w:p>
    <w:p>
      <w:pPr>
        <w:rPr>
          <w:rFonts w:ascii="PT Astra Serif" w:hAnsi="PT Astra Serif" w:cs="Times New Roman"/>
          <w:sz w:val="26"/>
          <w:szCs w:val="26"/>
        </w:rPr>
      </w:pPr>
    </w:p>
    <w:permEnd w:id="2"/>
    <w:p>
      <w:pPr>
        <w:tabs>
          <w:tab w:val="center" w:pos="6804"/>
        </w:tabs>
        <w:ind w:left="10632"/>
        <w:rPr>
          <w:rFonts w:ascii="PT Astra Serif" w:hAnsi="PT Astra Serif" w:cs="Times New Roman"/>
          <w:sz w:val="26"/>
          <w:szCs w:val="26"/>
        </w:rPr>
      </w:pPr>
    </w:p>
    <w:sectPr>
      <w:pgSz w:w="11906" w:h="16838"/>
      <w:pgMar w:top="567" w:right="566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ylfaen">
    <w:altName w:val="D050000L"/>
    <w:panose1 w:val="010A0502050306030303"/>
    <w:charset w:val="CC"/>
    <w:family w:val="roman"/>
    <w:pitch w:val="default"/>
    <w:sig w:usb0="00000000" w:usb1="00000000" w:usb2="00000000" w:usb3="00000000" w:csb0="0000009F" w:csb1="00000000"/>
  </w:font>
  <w:font w:name="D050000L">
    <w:panose1 w:val="01010601010101010101"/>
    <w:charset w:val="00"/>
    <w:family w:val="auto"/>
    <w:pitch w:val="default"/>
    <w:sig w:usb0="00000003" w:usb1="00000000" w:usb2="00000000" w:usb3="00000000" w:csb0="00000001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F532B"/>
    <w:multiLevelType w:val="singleLevel"/>
    <w:tmpl w:val="FF3F532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709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997"/>
    <w:rsid w:val="00004A25"/>
    <w:rsid w:val="00026116"/>
    <w:rsid w:val="00070D9C"/>
    <w:rsid w:val="00093686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FFDF3EB"/>
    <w:rsid w:val="176B7424"/>
    <w:rsid w:val="26FC7950"/>
    <w:rsid w:val="27FFA1D4"/>
    <w:rsid w:val="2DF3C070"/>
    <w:rsid w:val="35FF69E5"/>
    <w:rsid w:val="5C874AF5"/>
    <w:rsid w:val="5F7FF901"/>
    <w:rsid w:val="5FFF4C7C"/>
    <w:rsid w:val="5FFFAB71"/>
    <w:rsid w:val="6D366E7F"/>
    <w:rsid w:val="6E7FB9F1"/>
    <w:rsid w:val="73F66631"/>
    <w:rsid w:val="7777954B"/>
    <w:rsid w:val="77EFE806"/>
    <w:rsid w:val="7ED46CCC"/>
    <w:rsid w:val="7FFC58BB"/>
    <w:rsid w:val="7FFD6979"/>
    <w:rsid w:val="9F6CB310"/>
    <w:rsid w:val="ADF7D38D"/>
    <w:rsid w:val="B7BF1B42"/>
    <w:rsid w:val="BD7A489F"/>
    <w:rsid w:val="BFFF6FBF"/>
    <w:rsid w:val="C9BAD66C"/>
    <w:rsid w:val="CEB46120"/>
    <w:rsid w:val="D64F650F"/>
    <w:rsid w:val="DA3CB7CC"/>
    <w:rsid w:val="DEFD6292"/>
    <w:rsid w:val="E3DD3BF1"/>
    <w:rsid w:val="E57B00DB"/>
    <w:rsid w:val="EE77C1A2"/>
    <w:rsid w:val="F5F5B318"/>
    <w:rsid w:val="F60EE4FA"/>
    <w:rsid w:val="F78F463A"/>
    <w:rsid w:val="F79FA996"/>
    <w:rsid w:val="F7CFDB67"/>
    <w:rsid w:val="F7EF8922"/>
    <w:rsid w:val="F9FDC6AC"/>
    <w:rsid w:val="FBBF3E43"/>
    <w:rsid w:val="FCFF703F"/>
    <w:rsid w:val="FFF20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1"/>
    <w:basedOn w:val="3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1"/>
    <w:qFormat/>
    <w:uiPriority w:val="0"/>
    <w:pPr>
      <w:widowControl w:val="0"/>
      <w:shd w:val="clear" w:color="auto" w:fill="FFFFFF"/>
      <w:spacing w:after="0" w:line="634" w:lineRule="exact"/>
      <w:jc w:val="both"/>
    </w:pPr>
    <w:rPr>
      <w:rFonts w:ascii="Times New Roman" w:hAnsi="Times New Roman" w:eastAsia="Times New Roman" w:cs="Times New Roman"/>
      <w:sz w:val="26"/>
      <w:szCs w:val="26"/>
    </w:rPr>
  </w:style>
  <w:style w:type="table" w:customStyle="1" w:styleId="12">
    <w:name w:val="Сетка таблицы11"/>
    <w:basedOn w:val="3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</Words>
  <Characters>396</Characters>
  <Lines>3</Lines>
  <Paragraphs>1</Paragraphs>
  <TotalTime>46</TotalTime>
  <ScaleCrop>false</ScaleCrop>
  <LinksUpToDate>false</LinksUpToDate>
  <CharactersWithSpaces>464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2024-06-23T21:55:00Z</dcterms:created>
  <dc:creator>user3</dc:creator>
  <cp:lastModifiedBy>administrator</cp:lastModifiedBy>
  <dcterms:modified xsi:type="dcterms:W3CDTF">2025-10-20T15:37:31Z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