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2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08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320" w:type="dxa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</w:trPr>
        <w:tc>
          <w:tcPr>
            <w:tcW w:w="9720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720" w:type="dxa"/>
            <w:gridSpan w:val="3"/>
            <w:tcBorders>
              <w:top w:val="thinThickSmallGap" w:color="auto" w:sz="24" w:space="0"/>
            </w:tcBorders>
          </w:tcPr>
          <w:p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hint="default" w:ascii="PT Astra Serif" w:hAnsi="PT Astra Serif" w:cs="Times New Roman"/>
                <w:bCs/>
                <w:sz w:val="26"/>
                <w:szCs w:val="26"/>
              </w:rPr>
            </w:pPr>
            <w:permStart w:id="0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>О внесении изменений в некоторые постановления</w:t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>Правительства Республики Алтай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>
      <w:pPr>
        <w:pStyle w:val="9"/>
        <w:widowControl w:val="0"/>
        <w:shd w:val="clear"/>
        <w:ind w:firstLine="709"/>
        <w:jc w:val="both"/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</w:pPr>
      <w:permStart w:id="1" w:edGrp="everyone"/>
      <w:r>
        <w:rPr>
          <w:rFonts w:ascii="PT Astra Serif" w:hAnsi="PT Astra Serif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Правительство</w:t>
      </w:r>
      <w:r>
        <w:rPr>
          <w:rFonts w:hint="default" w:ascii="PT Astra Serif" w:hAnsi="PT Astra Serif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Республки Алтай </w:t>
      </w:r>
      <w:r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п о с т а н о в л я е т :</w:t>
      </w:r>
    </w:p>
    <w:p>
      <w:pPr>
        <w:pStyle w:val="9"/>
        <w:widowControl w:val="0"/>
        <w:numPr>
          <w:ilvl w:val="0"/>
          <w:numId w:val="1"/>
        </w:numPr>
        <w:shd w:val="clear"/>
        <w:ind w:firstLine="709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Внести изменения в Порядок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instrText xml:space="preserve"> HYPERLINK "https://login.consultant.ru/link/?req=doc&amp;base=RLAW916&amp;n=15270&amp;dst=100024&amp;field=134&amp;date=22.10.2025" </w:instrTex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предоставления государственной поддержки общественным объединениям добровольной пожарной охраны в Республике Алтай в форме имущественной поддержки, утвержденный постановлением Правительства Республики Алтай от 20 июня 2012 г. № 162 (Сборник законодательства Республики Алтай, 2012, № 89(95), следующие:</w:t>
      </w:r>
    </w:p>
    <w:p>
      <w:pPr>
        <w:pStyle w:val="9"/>
        <w:widowControl w:val="0"/>
        <w:numPr>
          <w:ilvl w:val="0"/>
          <w:numId w:val="0"/>
        </w:numPr>
        <w:shd w:val="clear"/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а) в пункте 4 слова «законодательством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нужд» заменить словами «Федеральным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9"/>
        <w:widowControl w:val="0"/>
        <w:numPr>
          <w:ilvl w:val="0"/>
          <w:numId w:val="0"/>
        </w:numPr>
        <w:shd w:val="clear"/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б) пункт 5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shd w:val="clear"/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«5. Приобретенное имущество для достижения уставных целей общественных объединений добровольной пожарной охраны в Республике Алтай передается в безвозмездное пользование общественным объединениям добровольной пожарной охраны в Республике Алтай</w:t>
      </w:r>
      <w:bookmarkStart w:id="3" w:name="_GoBack"/>
      <w:r>
        <w:rPr>
          <w:rFonts w:hint="default" w:ascii="PT Astra Serif" w:hAnsi="PT Astra Serif"/>
          <w:b w:val="0"/>
          <w:bCs w:val="0"/>
          <w:color w:val="auto"/>
          <w:sz w:val="26"/>
          <w:szCs w:val="26"/>
          <w:lang w:val="ru-RU" w:eastAsia="zh-CN"/>
        </w:rPr>
        <w:t xml:space="preserve"> на основании </w:t>
      </w:r>
      <w:bookmarkEnd w:id="3"/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согласия Министерства экономического развития Республики Алтай или в дар по договору пожертвования.»;</w:t>
      </w:r>
    </w:p>
    <w:p>
      <w:pPr>
        <w:pStyle w:val="9"/>
        <w:widowControl w:val="0"/>
        <w:numPr>
          <w:ilvl w:val="0"/>
          <w:numId w:val="0"/>
        </w:numPr>
        <w:shd w:val="clear"/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в) в пункте 7 после слов «переданное имущество» дополнить словами «за исключением боевой одежды».</w:t>
      </w:r>
    </w:p>
    <w:p>
      <w:pPr>
        <w:pStyle w:val="9"/>
        <w:widowControl w:val="0"/>
        <w:numPr>
          <w:ilvl w:val="0"/>
          <w:numId w:val="1"/>
        </w:numPr>
        <w:shd w:val="clear"/>
        <w:ind w:firstLine="709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Внести изменения в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instrText xml:space="preserve"> HYPERLINK "https://login.consultant.ru/link/?req=doc&amp;base=RLAW916&amp;n=54025&amp;dst=100020&amp;field=134&amp;date=22.10.2025" </w:instrTex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Положение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 о территориальной подсистеме единой государственной системы предупреждения и ликвидации чрезвычайных ситуаций Республики Алтай, утвержденное постановлением Правительства Республики Алтай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instrText xml:space="preserve"> HYPERLINK "https://login.consultant.ru/link/?req=doc&amp;base=RLAW916&amp;n=48169&amp;date=30.09.2025" </w:instrTex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от 22 декабря 2020 г. № 418 (Сборник законодательства Республики Алтай,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instrText xml:space="preserve"> HYPERLINK "https://login.consultant.ru/link/?req=doc&amp;base=RLAW916&amp;n=43838&amp;dst=100039&amp;field=134&amp;date=22.10.2025" </w:instrTex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2020, N 183(189); 2023, 209(215), следующие изменения: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а) пункте 3 слова «государственной власти» исключить;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б) подпункте «а» пункта 4 слова «государственной власти» исключить;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в) абзаце первом пункта 6 слова «государственной власти» исключить;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г) в пункте 8: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абзаце первом слова «государственной власти» исключить;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абзаце втором слова «государственной власти» исключить;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д) пункт 12 дополнить абзацем четвертым следующего содержания: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«Резервы финансовых и материальных ресурсов исполнительных органов Республики Алтай,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е) пункт 14 изложить в следующей редакции: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«14. Информационное обеспечение в территориальной подсистеме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 а также иных способов предоставления информации.»;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ж) абзаце четвертом пункта 22 слова «государственной власти» исключить.</w:t>
      </w:r>
    </w:p>
    <w:permEnd w:id="1"/>
    <w:p>
      <w:pPr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  <w:t>Председатель Правительства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permStart w:id="2" w:edGrp="everyone"/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t>]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ПОЯСНИТЕЛЬНАЯ ЗАПИСКА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к проекту постановления Правительства Республики Алтай 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«О внесении изменений в некоторые постановления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Правительства Республики Алтай»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 xml:space="preserve"> (далее - </w:t>
      </w:r>
      <w:r>
        <w:rPr>
          <w:rFonts w:hint="default" w:ascii="PT Astra Serif" w:hAnsi="PT Astra Serif" w:cs="PT Astra Serif"/>
          <w:b/>
          <w:bCs/>
          <w:color w:val="auto"/>
          <w:sz w:val="26"/>
          <w:szCs w:val="26"/>
        </w:rPr>
        <w:t>проект постановления)</w:t>
      </w:r>
    </w:p>
    <w:p>
      <w:pPr>
        <w:bidi w:val="0"/>
        <w:ind w:left="0" w:right="0" w:firstLine="540"/>
        <w:jc w:val="center"/>
        <w:rPr>
          <w:rFonts w:hint="default" w:ascii="PT Astra Serif" w:hAnsi="PT Astra Serif" w:cs="PT Astra Serif"/>
          <w:b/>
          <w:color w:val="auto"/>
          <w:sz w:val="26"/>
          <w:szCs w:val="26"/>
        </w:rPr>
      </w:pP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Субъектом нормотворческой деятельности является Правительство Республики Алтай.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Разработчиком проекта постановления Комитет по гражданской обороне, чрезвычайным ситуациям и пожарной безопасности Республики Алтай (далее – Комитет).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Предметом правового регулирования является приведение законодательства Республики Алтай в соответствие с 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П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begin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instrText xml:space="preserve"> HYPERLINK "https://login.consultant.ru/link/?req=doc&amp;base=LAW&amp;n=515778&amp;dst=100246&amp;field=134&amp;date=22.10.2025" </w:instrTex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separate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остановления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end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Правовым основанием принятия проекта постановления являются: </w:t>
      </w:r>
    </w:p>
    <w:p>
      <w:pPr>
        <w:numPr>
          <w:ilvl w:val="0"/>
          <w:numId w:val="2"/>
        </w:num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чать 1 статьи 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согалсно которой настоящий Федеральный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касающейся: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1) планирования закупок товаров, работ, услуг; 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2) определения поставщиков (подрядчиков, исполнителей); 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3) заключения предусмотренных настоящим Федеральным законом контрактов; 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4) особенностей исполнения контрактов;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5) мониторинга закупок товаров, работ, услуг; 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6) аудита в сфере закупок товаров, работ, услуг; 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7)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контроль в сфере закупок). </w:t>
      </w:r>
    </w:p>
    <w:p>
      <w:pPr>
        <w:numPr>
          <w:ilvl w:val="0"/>
          <w:numId w:val="2"/>
        </w:num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статья 11, часть 1 статьи 12 Федерального закона от 6 мая 2011 г. № 100-ФЗ «О добровольной пожарной охране», согласно которых: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организаций, которые создают добровольные пожарные подразделения, средств поддержки, оказываемой органами государственной власти и органами местного самоуправления общественным объединениям пожарной охраны, и иных средств, не запрещенных законодательством Российской Федерации;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имущество общественных объединений пожарной охраны формируется в соответствии с законодательством Российской Федерации на основе вступительных и членских взносов, если их уплата предусмотрена уставом соответствующего общественного объединения пожарной охраны, взносов его учредителей, добровольных взносов и пожертвований, поступлений от мероприятий, проводимых в соответствии с указанным уставом, за счет средств поддержки, оказываемой органами государственной власти и органами местного самоуправления общественным объединениям пожарной охраны в соответствии с законодательством Российской Федерации, законодательством субъектов Российской Федерации, муниципальными правовыми актами, и иных не запрещенных законодательством Российской Федерации поступлений (в том числе средств страховых организаций, осуществляющих страхование имущества и (или) гражданской ответственности на случай пожара);</w:t>
      </w:r>
    </w:p>
    <w:p>
      <w:pPr>
        <w:numPr>
          <w:ilvl w:val="0"/>
          <w:numId w:val="2"/>
        </w:num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абзац пятый пункта 20, абзац первый пункта 22 П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begin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instrText xml:space="preserve"> HYPERLINK "https://login.consultant.ru/link/?req=doc&amp;base=LAW&amp;n=515778&amp;dst=100246&amp;field=134&amp;date=22.10.2025" </w:instrTex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separate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остановления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end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 Правительства Российской Федерации от 30 декабря 2003 г. № 794 «О единой государственной системе предупреждения и ликвидации чрезвычайных ситуаций», согласно которым: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информации;</w:t>
      </w:r>
    </w:p>
    <w:p>
      <w:pPr>
        <w:numPr>
          <w:ilvl w:val="0"/>
          <w:numId w:val="2"/>
        </w:num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статья 31 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Федерального закона от 21 декабря 2021 г. № 414-ФЗ «Об общих принципах организации публичной власти в субъектах Российской Федерации»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, согласно которой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в соответствии с 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begin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instrText xml:space="preserve"> HYPERLINK "https://login.consultant.ru/link/?req=doc&amp;base=LAW&amp;n=2875&amp;date=22.10.2025" </w:instrTex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separate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Конституцией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end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(уставом) субъекта Российской Федерации;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5) абзац первый статьи 1 и абзац первый статьи 4 Конституционного закона Республики Алтай от 24 февраля 1998 г. № 2-4 «О Правительстве Республики Алтай», в соответствии с которыми Правительство Республики Алтай: 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является высшим исполнительным органом государственной власти Республики Алтай;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обеспечивает исполнение Конституции Российской Федерации, федеральных законов и иных нормативных правовых актов Российской Федерации, Конституции Республики Алтай, законов и иных нормативных правовых актов Республики Алтай на территории Республики Алтай;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6) часть 1 статьи 11, часть 1 статьи 20 Закона Республики Алтай от 5 марта 2008 г. № 18-РЗ «О нормативных правовых актах Республики Алтай», согласно которым: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изменение нормативного правового акта оформляется нормативными правовыми актами того же вида;</w:t>
      </w:r>
    </w:p>
    <w:p>
      <w:pPr>
        <w:numPr>
          <w:ilvl w:val="0"/>
          <w:numId w:val="3"/>
        </w:num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 часть 1 статьи 2, части 1, 2 статьи 13 Закона Республики Алтай от 24 июня 2025 г. № 54-РЗ «Об отдельных вопросах организации местного самоуправления в Республике Алтай и признании утратившими силу некоторых законодательных актов Республики Алтай», согласно которым: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на всей территории Республики Алтай местное самоуправление осуществляется в следующих видах муниципальных образований в Республике Алтай (далее - муниципальное образование) городской округ; муниципальный округ;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этот Закон вступает в силу со дня его официального опубликования и распространяется на правоотношения, возникшие с 19 июня 2025 года;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со дня вступления в силу этого Закона и по 31 декабря 2025 года устанавливается переходный период;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в переходный период осуществляется урегулирование вопросов, связанных с реформированием муниципальных образований. До окончания переходного периода полномочия по решению вопросов местного значения на территории муниципальных районов и сельских поселений в Республике Алтай осуществляют местные администрации соответствующих муниципальных районов и сельских поселений в Республике Алтай. 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В отношении проекта постановления не требуется проведение оценки регулирующего воздействия в связи с тем,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П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</w:rPr>
              <w:t>редседател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ь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</w:rPr>
              <w:t xml:space="preserve"> Комитета по гражданской обороне, чрезвычайным ситуациям и пожарной безопасности 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</w:pP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Ю.Б. Леонтьев</w:t>
            </w:r>
          </w:p>
        </w:tc>
      </w:tr>
    </w:tbl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ermEnd w:id="2"/>
    <w:p>
      <w:pPr>
        <w:tabs>
          <w:tab w:val="center" w:pos="6804"/>
        </w:tabs>
        <w:ind w:left="10632"/>
        <w:rPr>
          <w:rFonts w:ascii="PT Astra Serif" w:hAnsi="PT Astra Serif" w:cs="Times New Roman"/>
          <w:sz w:val="26"/>
          <w:szCs w:val="26"/>
        </w:rPr>
      </w:pPr>
    </w:p>
    <w:sectPr>
      <w:pgSz w:w="11906" w:h="16838"/>
      <w:pgMar w:top="567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ylfaen">
    <w:altName w:val="D050000L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D050000L">
    <w:panose1 w:val="01010601010101010101"/>
    <w:charset w:val="00"/>
    <w:family w:val="auto"/>
    <w:pitch w:val="default"/>
    <w:sig w:usb0="00000003" w:usb1="00000000" w:usb2="00000000" w:usb3="00000000" w:csb0="00000001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DB739D"/>
    <w:multiLevelType w:val="singleLevel"/>
    <w:tmpl w:val="ADDB739D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7EEF593"/>
    <w:multiLevelType w:val="singleLevel"/>
    <w:tmpl w:val="F7EEF593"/>
    <w:lvl w:ilvl="0" w:tentative="0">
      <w:start w:val="7"/>
      <w:numFmt w:val="decimal"/>
      <w:suff w:val="space"/>
      <w:lvlText w:val="%1)"/>
      <w:lvlJc w:val="left"/>
    </w:lvl>
  </w:abstractNum>
  <w:abstractNum w:abstractNumId="2">
    <w:nsid w:val="FFBF7C3B"/>
    <w:multiLevelType w:val="singleLevel"/>
    <w:tmpl w:val="FFBF7C3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70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FFDF3EB"/>
    <w:rsid w:val="176B7424"/>
    <w:rsid w:val="26FC7950"/>
    <w:rsid w:val="29DF9E36"/>
    <w:rsid w:val="2DF3C070"/>
    <w:rsid w:val="3F8F1B28"/>
    <w:rsid w:val="4EFB4244"/>
    <w:rsid w:val="5AF9E694"/>
    <w:rsid w:val="5C874AF5"/>
    <w:rsid w:val="5F7FF901"/>
    <w:rsid w:val="5FFF4C7C"/>
    <w:rsid w:val="5FFFAB71"/>
    <w:rsid w:val="657B4342"/>
    <w:rsid w:val="6D366E7F"/>
    <w:rsid w:val="6E7FB9F1"/>
    <w:rsid w:val="73F66631"/>
    <w:rsid w:val="7777954B"/>
    <w:rsid w:val="77EFE806"/>
    <w:rsid w:val="7ED46CCC"/>
    <w:rsid w:val="7FC17269"/>
    <w:rsid w:val="7FFC58BB"/>
    <w:rsid w:val="7FFD6979"/>
    <w:rsid w:val="7FFDFB09"/>
    <w:rsid w:val="9F6CB310"/>
    <w:rsid w:val="ADF7D38D"/>
    <w:rsid w:val="B7BF1B42"/>
    <w:rsid w:val="B7FC735E"/>
    <w:rsid w:val="BD7A489F"/>
    <w:rsid w:val="BFFF6FBF"/>
    <w:rsid w:val="C9BAD66C"/>
    <w:rsid w:val="CEB46120"/>
    <w:rsid w:val="D3C9C335"/>
    <w:rsid w:val="DA3CB7CC"/>
    <w:rsid w:val="DEFD6292"/>
    <w:rsid w:val="DFBFB584"/>
    <w:rsid w:val="E17EF62E"/>
    <w:rsid w:val="E3DD3BF1"/>
    <w:rsid w:val="E57B00DB"/>
    <w:rsid w:val="EE77C1A2"/>
    <w:rsid w:val="F5F5B318"/>
    <w:rsid w:val="F5FD6EBE"/>
    <w:rsid w:val="F60EE4FA"/>
    <w:rsid w:val="F78F463A"/>
    <w:rsid w:val="FBBF3E43"/>
    <w:rsid w:val="FCFF703F"/>
    <w:rsid w:val="FF7E4AC6"/>
    <w:rsid w:val="FFF20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1"/>
    <w:basedOn w:val="3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1"/>
    <w:qFormat/>
    <w:uiPriority w:val="0"/>
    <w:pPr>
      <w:widowControl w:val="0"/>
      <w:shd w:val="clear" w:color="auto" w:fill="FFFFFF"/>
      <w:spacing w:after="0" w:line="634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12">
    <w:name w:val="Сетка таблицы11"/>
    <w:basedOn w:val="3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396</Characters>
  <Lines>3</Lines>
  <Paragraphs>1</Paragraphs>
  <TotalTime>4756</TotalTime>
  <ScaleCrop>false</ScaleCrop>
  <LinksUpToDate>false</LinksUpToDate>
  <CharactersWithSpaces>464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2024-06-23T21:55:00Z</dcterms:created>
  <dc:creator>user3</dc:creator>
  <cp:lastModifiedBy>administrator</cp:lastModifiedBy>
  <dcterms:modified xsi:type="dcterms:W3CDTF">2025-10-31T09:27:02Z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